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415 vom 24. Juni 1992</w:t>
      </w:r>
    </w:p>
    <w:p>
      <w:r>
        <w:t>Bundesgericht (BGE), 1992-06-24, IT</w:t>
      </w:r>
    </w:p>
    <w:p>
      <w:r>
        <w:rPr>
          <w:b/>
        </w:rPr>
        <w:t xml:space="preserve">Quelle: </w:t>
      </w:r>
      <w:r>
        <w:t>https://mcp.opencaselaw.ch/entscheid/bge_118 IA 415</w:t>
      </w:r>
    </w:p>
    <w:p>
      <w:r>
        <w:t>FR: BGE 118 IA 415 du 24 juin 1992</w:t>
      </w:r>
    </w:p>
    <w:p>
      <w:r>
        <w:t>IT: BGE 118 IA 415 del 24 giugno 1992</w:t>
      </w:r>
    </w:p>
    <w:p>
      <w:pPr>
        <w:pStyle w:val="Heading2"/>
      </w:pPr>
      <w:r>
        <w:t>Regeste</w:t>
      </w:r>
    </w:p>
    <w:p>
      <w:r>
        <w:t>Regeste Art. 147 Abs. 2 des Tessiner Gesetzes betreffend Wahlen und Abstimmungen vom 23. Februar 1954 (LVE); Wahl von Mitgliedern des Appellationsgerichtes (Tribunale di appello). 1. Eine Vorbereitungsmassnahme für eine Abstimmung oder eine Wahl muss in der Regel unverzüglich angefochten werden, noch bevor deren Ausgang bekannt wird (Art. 85 lit. a und Art. 89 OG) (E. 2a-b). 2. Art. 86 OG: Erfordernis der Erschöpfung des kantonalen Instanzenzuges: Ausnahmen davon (E. 3). 3. System der Proporzwahl: Verfassungskonformität von Art. 147 Abs. 2 LVE. a) Diese Bestimmung, welche die Zahl der kumulierten und panaschierten Stimmen (voti preferenziali) beschränkt, ist nicht unvereinbar mit dem Proporzsystem, welches naturgemäss die Parteien privilegiert (E. 6a-d). b) Im Tessiner Proporzwahlsystem führt eine solche Regelung zu keiner Ungleichbehandlung zwischen grossen und kleinen Parteien und deren Wählern (E. 6e).</w:t>
      </w:r>
    </w:p>
    <w:p>
      <w:pPr>
        <w:pStyle w:val="Heading2"/>
      </w:pPr>
      <w:r>
        <w:t>Erwägungen</w:t>
      </w:r>
    </w:p>
    <w:p>
      <w:r>
        <w:rPr>
          <w:b/>
        </w:rPr>
        <w:t>E. 1</w:t>
      </w:r>
    </w:p>
    <w:p>
      <w:r>
        <w:t>Eine Vorbereitungsmassnahme für eine Abstimmung oder eine Wahl muss in der Regel unverzüglich angefochten werden, noch bevor deren Ausgang bekannt wird ( Art. 85 lit. a und Art. 89 OG ) (E. 2a-b).</w:t>
      </w:r>
    </w:p>
    <w:p>
      <w:r>
        <w:rPr>
          <w:b/>
        </w:rPr>
        <w:t>E. 2</w:t>
      </w:r>
    </w:p>
    <w:p>
      <w:r>
        <w:t>Art. 86 OG : Erfordernis der Erschöpfung des kantonalen Instanzenzuges: Ausnahmen davon (E. 3).</w:t>
      </w:r>
    </w:p>
    <w:p>
      <w:r>
        <w:rPr>
          <w:b/>
        </w:rPr>
        <w:t>E. 3</w:t>
      </w:r>
    </w:p>
    <w:p>
      <w:r>
        <w:t>Il ricorrente non ha esaurito, deliberatamente, il corso delle istanze cantonali. Ora, l'esigenza del previo esaurimento dei rimedi BGE 118 Ia 415 S. 419 di diritto cantonali sancita dall' art. 86 OG , salvo eccezioni che qui non interessano (cpv. 2) e cui la novella del 4 ottobre 1991 non ha cambiato la natura, è applicabile anche ai ricorsi per violazione dei diritti politici (DTF DTF 102 Ia 266 consid. 2). Tuttavia, secondo la costante prassi, possono essere ammesse deroghe a tale regola qualora l'economia della procedura l'imponga. Ciò è il caso quando sussistono seri dubbi riguardo all'ammissibilità di un rimedio di diritto cantonale ( DTF 110 Ia 213 consid. 1 e rinvii), o se tale obbligo condurrebbe il ricorrente a far inutilmente uso di un simile rimedio, esistente di fatto, ma il cui inoltro costituirebbe soltanto una vana formalità ( DTF 103 Ia 363 consid. 1a, DTF 93 I 21 consid. 2; CHRISTOPH HILLER, Die Stimmrechtsbeschwerde, tesi, Zurigo 1990, pag. 207 segg.). Quest'ultima ipotesi si verifica ad esempio allorché è impugnata come anticostituzionale l'applicazione di un disposto emanato dalla stessa autorità cantonale di ricorso o da essa approvato, cui sarebbe pertanto inutile indirizzarsi ( DTF 66 I 7 in medio, DTF 38 I 438 consid. 1, DTF 94 I 591 consid. 1). In concreto questa giurisprudenza, confermata ancora recentemente ( DTF 114 Ia 265 consid. 2a-d), è chiaramente applicabile. Il ricorrente non pretende infatti che l'art. 147 cpv. 2 LVE sia stato applicato in modo erroneo da parte del Governo, ma censura l'attuazione pratica di questa norma, a suo dire anticostituzionale. Ora, questo disposto è stato applicato per la prima volta nell'ambito dello scrutinio litigioso in vista del quale, per di più, esso è stato adottato dal Gran Consiglio l'11 novembre 1991. Era quindi manifestamente inutile rivolgersi al Parlamento, che l'art. 107 LVE istituisce come autorità generale di ricorso contro le votazioni o elezioni cantonali, per chiedergli di accertare che il testo legale da esso adottato tre mesi prima viola la libertà di voto dei cittadini. Evidenti ragioni di economia processuale permettevano pertanto di rivolgersi direttamente al Tribunale federale.</w:t>
      </w:r>
    </w:p>
    <w:p>
      <w:r>
        <w:rPr>
          <w:b/>
        </w:rPr>
        <w:t>E. 6</w:t>
      </w:r>
    </w:p>
    <w:p>
      <w:r>
        <w:t>a) In concreto, il ricorrente censura soltanto la modifica introdotta dall'art. 147 cpv. 2 LVE che, limitando il numero dei voti preferenziali, non consente, in pratica, all'elettore ticinese di votare per un numero di candidati pari a quello dei giudici da eleggere e di comporre, in tal modo, secondo i suoi desideri, la totalità del Tribunale di appello. Ne risulterebbe una disparità di trattamento fra i grandi e i piccoli partiti - a suo dire sfavoriti -, poiché i gruppi che hanno proposto un maggior numero di candidati offrirebbero, a tal riguardo, una più ampia possibilità di scelta che gli altri. Nell'ambito dell'elezione litigiosa il cittadino disponeva infatti al massimo di BGE 118 Ia 415 S. 420 17 suffragi nominativi differenti, ipotesi realizzata se sceglieva la lista n. 1 del partito liberale radicale ticinese (ossia sette candidati oltre a dieci voti preferenziali); per converso, qualora sceglieva la lista civica n. 5 l'elettore poteva votare soltanto per undici candidati, ovvero per l'unico candidato oltre a dieci voti preferenziali. Il Governo non contesta tale circostanza ma sostiene che il sistema criticato, compatibile con il sistema della proporzionale, non viola l' art. 45 cpv. 1 Cost./TI né la libertà di voto garantita dal diritto federale. b) Giusta l'art. 147 LVE, concernente il quoziente elettorale e le modalità di elezione, nelle elezioni giudiziarie col sistema del voto proporzionale la ripartizione degli eletti fra i vari gruppi si esegue in base al quoziente elettorale costituito dalla somma totale dei voti ottenuti dai singoli gruppi divisi per il numero dei membri da eleggere (cpv. 1). Secondo il capoverso 2 del citato disposto, per l'espressione del voto sono applicabili le norme sull'elezione del Gran Consiglio, ritenuto che possono essere espressi voti preferenziali fino ad un massimo corrispondente alla metà degli eleggendi, e se il numero di quest'ultimi non è divisibile per due, viene arrotondato alla cifra superiore. Il capoverso 3 precisa che sono inoltre applicabili per analogia le norme sull'elezione del Gran Consiglio relative al quoziente elettorale, alla ripartizione dei seggi in caso di liste congiunte, alla designazione dopo la ripartizione e all'elezione in difetto di subentranti, mentre il capoverso 4 stabilisce che la proclamazione degli eletti avviene analogamente alle disposizioni di cui all'art. 138. c) Gli articoli 5 e 6 cpv. 2 lett. b Cost. impongono ai cantoni di assicurare l'esercizio dei diritti politici giusta le forme repubblicane-rappresentative o democratiche. In virtù dell' art. 74 cpv. 4 Cost. il sistema di voto proporzionale può essere istituito liberamente per le elezioni cantonali. L'attuazione pratica può avvenire in diversi modi che il legislatore cantonale, in assenza di altre indicazioni costituzionali, può scegliere liberamente; in questo campo il Tribunale federale non può sostituirsi all'autorità cantonale ma interviene soltanto quando una determinata soluzione non sia più compatibile con il sistema proporzionale e violi pertanto la Costituzione. Tale sistema ha per scopo di assicurare ai diversi gruppi una rappresentanza proporzionale alla loro reale importanza nel corpo elettorale, indipendente dalla volontà della maggioranza ( DTF 109 Ia 207 consid. 5b, DTF 107 Ia 220 consid. 3a, DTF 103 Ia 561 ). Ovviamente, in questo sistema, la rappresentanza de gruppi, generalmente i partiti politici, predomina BGE 118 Ia 415 S. 421 sulla composizione nominativa degli organi sottomessi periodicamente a elezione. L'adozione del sistema proporzionale limita infatti, attraverso la presentazione di liste, la facoltà di scelta dell'elettore. Il Tribunale federale ha già avuto modo di precisare che sono quindi compatibili con tale sistema ad esempio, in ogni caso se presi singolarmente, l'obbligo di deporre liste di candidati entro un determinato termine, escludendo in tal modo la possibilità di votare per altri cittadini cui l'elettore non può dare - validamente - il proprio suffragio ( DTF 98 Ia 72 consid. 3c), l'obbligo di denominare queste liste con il nome del gruppo o del partito politico che le ha deposte, quello di scegliere soltanto fra l'una o l'altra di queste liste, come pure il divieto di radiare candidati (sentenza del 5 dicembre 1983 in re R. parzialmente pubblicata in RDAT 1984 n. 3, consid. 2 e 3). d) Per quanto qui interessa, giusta l'art. 147 cpv. 2 LVE, il voto in oggetto è retto dalle norme applicabili all'elezione del Gran Consiglio e quindi, in particolare, anche da quelle, quali lex specialis, dell'art. 4 cpv. 3 della legge sulle elezioni politiche del 30 ottobre 1958 (LEP) relative all'espressione del voto. In conformità di quest'ultimo disposto, l'elettore può esprimere voti preferenziali da una parte a candidati del gruppo prescelto e, dall'altra, a candidati di altri gruppi (cd. panachage). L'art. 147 cpv. 2 LVE restringe tuttavia il numero di tali voti, che si aggiungono ai voti corrispondenti al numero di candidati di ciascuna lista, a un massimo corrispondente alla metà del numero degli eleggendi (cfr. anche l' art. 4 cpv. 4 LEP ), ovvero dieci nel caso di specie. Questa limitazione è dettata senza dubbio dalla volontà del legislatore di evitare un'eccessiva dispersione dei suffragi e una disparità troppo grande fra i candidati di una stessa lista, motivi che possono costituire interessi generali degni di protezione. Il panachage, compatibile con il sistema del voto proporzionale, vi introduce un elemento di scrutinio maggioritario permettendo all'elettore di personalizzare in modo limitato la propria scelta favorendo un determinato candidato, sia che questi figuri sulla lista che ha scelto (cumulo) sia su un'altra. Questa libertà consente al cittadino di prendere in considerazione, al di là dell'appartenenza politica di un candidato, le qualità personali, professionali e morali che gli riconosce. La critica del ricorrente riguardo alla limitazione del panachage, che non permette all'elettore di comporre integralmente l'organo di cui è invitato a scegliere i membri, è speciosa. In effetti, ciò che è decisivo, come rettamente sottolineato dal Governo nella risposta, è BGE 118 Ia 415 S. 422 che l'elettore dispone di un numero di suffragi uguale al numero dei mandati da rinnovare, entrando in linea di conto, ai fini del conteggio, sia i voti emessi, vale a dire i suffragi ottenuti dai singoli candidati sia i voti non emessi, cioè i suffragi non espressi a favore di candidati e spettanti ad ogni lista in conformità dell'art. 79 LVE (cfr. art. 11 LEP ). Quindi, se una lista contiene un numero di candidati inferiore a quello dei seggi che le spettano, i proponenti o il loro rappresentante hanno la facoltà di completarla fino al numero dei seggi che le sono stati assegnati (art. 126 LVE in relazione all'art. 147 cpv. 3 LVE). Ne segue che, per l'addizione dei voti emessi e non emessi, l'elettore dispone, in definitiva, quantitativamente di venti suffragi. L'elettore che vota indicando sulla propria lista meno suffragi nominativi che non i seggi da ripartire delega semplicemente ai proponenti della lista che ha scelto una parte della sua facoltà di scelta dei candidati. In tal modo egli riconosce, implicitamente, nel caso in cui il suo partito ottenesse più seggi che non quelli delle candidature deposte, il diritto ai suoi proponenti di designare il mandato in soprannumero che gli spetta: una siffatta delega non è incompatibile con il sistema proporzionale che privilegia per sua natura i partiti. e) Infine, nel regime ticinese della rappresentanza proporzionale, questo sistema non costituisce una disparità di trattamento, sia fra i grandi e i piccoli partiti, sia fra gli elettori di questi gruppi. Infatti, le loro possibilità di scelta sono le stesse: dal momento ch'essi non hanno la facoltà di cancellare le candidature proposte, non si può affermare che la presentazione di un numero maggiore o minore di candidati per i diversi partiti conferisca agli elettori possibilità di scelta più o meno ampie.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